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Pr="0075658D" w:rsidRDefault="00AC46A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46A8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728585" cy="10639425"/>
            <wp:effectExtent l="1905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858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позволяющих достичь Цель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16059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591" w:rsidRPr="00160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Гурбукинская</w:t>
            </w:r>
            <w:proofErr w:type="spell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1977г.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0522011124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МР «</w:t>
            </w:r>
            <w:proofErr w:type="spellStart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  <w:r w:rsidR="00160591">
              <w:rPr>
                <w:rFonts w:ascii="Times New Roman" w:hAnsi="Times New Roman" w:cs="Times New Roman"/>
                <w:sz w:val="24"/>
                <w:szCs w:val="24"/>
              </w:rPr>
              <w:t>№9234 от 16 мая 2018г.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proofErr w:type="spellStart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урбуки</w:t>
            </w:r>
            <w:proofErr w:type="spell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 2 </w:t>
            </w:r>
            <w:proofErr w:type="spellStart"/>
            <w:r w:rsidR="00160591">
              <w:rPr>
                <w:rFonts w:ascii="Times New Roman" w:hAnsi="Times New Roman" w:cs="Times New Roman"/>
                <w:sz w:val="24"/>
                <w:szCs w:val="24"/>
              </w:rPr>
              <w:t>мндекс</w:t>
            </w:r>
            <w:proofErr w:type="spellEnd"/>
            <w:r w:rsidR="00160591">
              <w:rPr>
                <w:rFonts w:ascii="Times New Roman" w:hAnsi="Times New Roman" w:cs="Times New Roman"/>
                <w:sz w:val="24"/>
                <w:szCs w:val="24"/>
              </w:rPr>
              <w:t xml:space="preserve"> 368547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3"/>
        <w:gridCol w:w="2701"/>
        <w:gridCol w:w="1950"/>
        <w:gridCol w:w="1102"/>
        <w:gridCol w:w="1916"/>
        <w:gridCol w:w="1952"/>
        <w:gridCol w:w="2547"/>
        <w:gridCol w:w="2681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 xml:space="preserve">обучения, </w:t>
            </w:r>
            <w:r>
              <w:rPr>
                <w:rFonts w:ascii="Times New Roman" w:hAnsi="Times New Roman"/>
              </w:rPr>
              <w:lastRenderedPageBreak/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 xml:space="preserve">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Недостаточная материально-</w:t>
            </w:r>
            <w:r>
              <w:rPr>
                <w:rFonts w:ascii="Times New Roman" w:hAnsi="Times New Roman"/>
              </w:rPr>
              <w:lastRenderedPageBreak/>
              <w:t>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</w:t>
            </w:r>
            <w:r>
              <w:rPr>
                <w:rFonts w:ascii="Times New Roman" w:hAnsi="Times New Roman"/>
              </w:rPr>
              <w:lastRenderedPageBreak/>
              <w:t xml:space="preserve">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</w:t>
            </w:r>
            <w:r>
              <w:rPr>
                <w:rFonts w:ascii="Times New Roman" w:hAnsi="Times New Roman"/>
              </w:rPr>
              <w:lastRenderedPageBreak/>
              <w:t>для реализации профильного обучения в образовательной организации.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</w:t>
            </w:r>
            <w:r>
              <w:rPr>
                <w:rFonts w:ascii="Times New Roman" w:hAnsi="Times New Roman"/>
              </w:rPr>
              <w:lastRenderedPageBreak/>
              <w:t>запросов на профильное обучение.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</w:t>
            </w:r>
            <w:r>
              <w:rPr>
                <w:rFonts w:ascii="Times New Roman" w:hAnsi="Times New Roman"/>
              </w:rPr>
              <w:lastRenderedPageBreak/>
              <w:t>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>
              <w:rPr>
                <w:rFonts w:ascii="Times New Roman" w:hAnsi="Times New Roman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знаний и представлений, направленных на </w:t>
            </w:r>
            <w:r>
              <w:rPr>
                <w:rFonts w:ascii="Times New Roman" w:hAnsi="Times New Roman"/>
              </w:rPr>
              <w:lastRenderedPageBreak/>
              <w:t>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</w:t>
            </w:r>
            <w:r>
              <w:rPr>
                <w:rFonts w:ascii="Times New Roman" w:hAnsi="Times New Roman"/>
              </w:rPr>
              <w:lastRenderedPageBreak/>
              <w:t>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</w:t>
            </w:r>
            <w:r>
              <w:rPr>
                <w:rFonts w:ascii="Times New Roman" w:hAnsi="Times New Roman"/>
              </w:rPr>
              <w:lastRenderedPageBreak/>
              <w:t>другими общеобразовательными организациями.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</w:t>
            </w:r>
            <w:r>
              <w:rPr>
                <w:rFonts w:ascii="Times New Roman" w:hAnsi="Times New Roman"/>
              </w:rPr>
              <w:lastRenderedPageBreak/>
              <w:t xml:space="preserve">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</w:t>
            </w:r>
            <w:r>
              <w:rPr>
                <w:rFonts w:ascii="Times New Roman" w:hAnsi="Times New Roman"/>
              </w:rPr>
              <w:lastRenderedPageBreak/>
              <w:t>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выпускников по подготовке к ОГЭ.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</w:t>
            </w:r>
            <w:r>
              <w:rPr>
                <w:rFonts w:ascii="Times New Roman" w:hAnsi="Times New Roman"/>
              </w:rPr>
              <w:lastRenderedPageBreak/>
              <w:t>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обучающихся по подготовке к ОГЭ.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образовании, в </w:t>
            </w:r>
            <w:r>
              <w:rPr>
                <w:rFonts w:ascii="Times New Roman" w:hAnsi="Times New Roman"/>
              </w:rPr>
              <w:lastRenderedPageBreak/>
              <w:t>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получивших </w:t>
            </w:r>
            <w:r>
              <w:rPr>
                <w:rFonts w:ascii="Times New Roman" w:hAnsi="Times New Roman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lastRenderedPageBreak/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 муниципальном/ региональном/заключительном  этапе ВСОШ.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lastRenderedPageBreak/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 xml:space="preserve">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</w:t>
            </w:r>
            <w:r>
              <w:rPr>
                <w:rFonts w:ascii="Times New Roman" w:hAnsi="Times New Roman"/>
              </w:rPr>
              <w:lastRenderedPageBreak/>
              <w:t>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</w:rPr>
              <w:t>материально-информационно-технических</w:t>
            </w:r>
            <w:proofErr w:type="spellEnd"/>
            <w:r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</w:t>
            </w:r>
            <w:r>
              <w:rPr>
                <w:rFonts w:ascii="Times New Roman" w:hAnsi="Times New Roman"/>
              </w:rPr>
              <w:lastRenderedPageBreak/>
              <w:t>сетевой форме.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</w:t>
            </w:r>
            <w:r>
              <w:rPr>
                <w:rFonts w:ascii="Times New Roman" w:hAnsi="Times New Roman"/>
              </w:rPr>
              <w:lastRenderedPageBreak/>
              <w:t>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</w:t>
            </w:r>
            <w:r>
              <w:rPr>
                <w:rFonts w:ascii="Times New Roman" w:hAnsi="Times New Roman"/>
              </w:rPr>
              <w:lastRenderedPageBreak/>
              <w:t>индивидуальных возрастных, психологических и физиологических особенностей.</w:t>
            </w:r>
            <w:proofErr w:type="gramEnd"/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 xml:space="preserve">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Информационный блок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  <w:proofErr w:type="gramEnd"/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</w:t>
            </w:r>
            <w:r>
              <w:rPr>
                <w:rFonts w:ascii="Times New Roman" w:hAnsi="Times New Roman"/>
              </w:rPr>
              <w:lastRenderedPageBreak/>
              <w:t xml:space="preserve">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</w:t>
            </w:r>
            <w:r>
              <w:rPr>
                <w:rFonts w:ascii="Times New Roman" w:hAnsi="Times New Roman"/>
              </w:rPr>
              <w:lastRenderedPageBreak/>
              <w:t>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 и более видов спорта в ШСК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>
              <w:rPr>
                <w:rFonts w:ascii="Times New Roman" w:hAnsi="Times New Roman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3 и более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 xml:space="preserve">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конкурсах, фестивалях, олимпиадах, конференциях.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</w:t>
            </w:r>
            <w:r>
              <w:rPr>
                <w:rFonts w:ascii="Times New Roman" w:hAnsi="Times New Roman"/>
              </w:rPr>
              <w:lastRenderedPageBreak/>
              <w:t xml:space="preserve">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</w:t>
            </w:r>
            <w:r>
              <w:rPr>
                <w:rFonts w:ascii="Times New Roman" w:hAnsi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</w:t>
            </w:r>
            <w:r>
              <w:rPr>
                <w:rFonts w:ascii="Times New Roman" w:hAnsi="Times New Roman"/>
              </w:rPr>
              <w:lastRenderedPageBreak/>
              <w:t>дистанционной форме) для разработки и реализации дополнительной образовательной программы «Школьный хор».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</w:t>
            </w:r>
            <w:r>
              <w:rPr>
                <w:rFonts w:ascii="Times New Roman" w:hAnsi="Times New Roman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Более 2 в год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рабочей программы воспитани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Родители не участвуют </w:t>
            </w:r>
            <w:r>
              <w:rPr>
                <w:rFonts w:ascii="Times New Roman" w:hAnsi="Times New Roman"/>
              </w:rPr>
              <w:lastRenderedPageBreak/>
              <w:t>в разработке рабочей программы воспитания.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включенности родителей в разработку рабочей программы воспитания штабом воспитательной работы.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Отсутствует работа по регламентированным </w:t>
            </w:r>
            <w:r>
              <w:rPr>
                <w:rFonts w:ascii="Times New Roman" w:hAnsi="Times New Roman"/>
              </w:rPr>
              <w:lastRenderedPageBreak/>
              <w:t>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</w:t>
            </w:r>
            <w:r>
              <w:rPr>
                <w:rFonts w:ascii="Times New Roman" w:hAnsi="Times New Roman"/>
              </w:rPr>
              <w:lastRenderedPageBreak/>
              <w:t>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</w:t>
            </w:r>
            <w:r>
              <w:rPr>
                <w:rFonts w:ascii="Times New Roman" w:hAnsi="Times New Roman"/>
              </w:rPr>
              <w:lastRenderedPageBreak/>
              <w:t>клубы выходного дня, мастер-классы, круглые столы по вопросам воспитания.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</w:t>
            </w:r>
            <w:r>
              <w:rPr>
                <w:rFonts w:ascii="Times New Roman" w:hAnsi="Times New Roman"/>
              </w:rPr>
              <w:lastRenderedPageBreak/>
              <w:t>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разработаны программы краеведения </w:t>
            </w:r>
            <w:r>
              <w:rPr>
                <w:rFonts w:ascii="Times New Roman" w:hAnsi="Times New Roman"/>
              </w:rPr>
              <w:lastRenderedPageBreak/>
              <w:t>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 в программу воспитания общеобразовательной организации.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</w:t>
            </w:r>
            <w:r>
              <w:rPr>
                <w:rFonts w:ascii="Times New Roman" w:hAnsi="Times New Roman"/>
              </w:rPr>
              <w:lastRenderedPageBreak/>
              <w:t>курирующими программы краеведения и школьного туризма в районе, крае.</w:t>
            </w:r>
            <w:proofErr w:type="gramEnd"/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присвоение опыта </w:t>
            </w:r>
            <w:r>
              <w:rPr>
                <w:rFonts w:ascii="Times New Roman" w:hAnsi="Times New Roman"/>
              </w:rPr>
              <w:lastRenderedPageBreak/>
              <w:t>успешных педагогов).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</w:t>
            </w:r>
            <w:r>
              <w:rPr>
                <w:rFonts w:ascii="Times New Roman" w:hAnsi="Times New Roman"/>
              </w:rPr>
              <w:lastRenderedPageBreak/>
              <w:t>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</w:t>
            </w:r>
            <w:r>
              <w:rPr>
                <w:rFonts w:ascii="Times New Roman" w:hAnsi="Times New Roman"/>
              </w:rPr>
              <w:lastRenderedPageBreak/>
              <w:t>районе, городе, селе; кадровых потребностей современного рынка труда.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</w:t>
            </w:r>
            <w:r>
              <w:rPr>
                <w:rFonts w:ascii="Times New Roman" w:hAnsi="Times New Roman"/>
              </w:rPr>
              <w:lastRenderedPageBreak/>
              <w:t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обеспечивается информирование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образовательными организациями среднего профессионального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</w:t>
            </w:r>
            <w:r>
              <w:rPr>
                <w:rFonts w:ascii="Times New Roman" w:hAnsi="Times New Roman"/>
              </w:rPr>
              <w:lastRenderedPageBreak/>
              <w:t>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r>
              <w:rPr>
                <w:rFonts w:ascii="Times New Roman" w:hAnsi="Times New Roman"/>
              </w:rPr>
              <w:lastRenderedPageBreak/>
              <w:t>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Не менее 80%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 xml:space="preserve">воспитания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</w:t>
            </w:r>
            <w:r>
              <w:rPr>
                <w:rFonts w:ascii="Times New Roman" w:hAnsi="Times New Roman"/>
              </w:rPr>
              <w:lastRenderedPageBreak/>
              <w:t>и организации курсовой подготовки педагогов в сфере воспитания.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победы в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</w:t>
            </w:r>
            <w:r>
              <w:rPr>
                <w:rFonts w:ascii="Times New Roman" w:hAnsi="Times New Roman"/>
              </w:rPr>
              <w:lastRenderedPageBreak/>
              <w:t>профессиональному конкурсу.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</w:t>
            </w:r>
            <w:r>
              <w:rPr>
                <w:rFonts w:ascii="Times New Roman" w:hAnsi="Times New Roman"/>
              </w:rPr>
              <w:lastRenderedPageBreak/>
              <w:t xml:space="preserve">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в штате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Выделение и оснащение </w:t>
            </w:r>
            <w:r>
              <w:rPr>
                <w:rFonts w:ascii="Times New Roman" w:hAnsi="Times New Roman"/>
              </w:rPr>
              <w:lastRenderedPageBreak/>
              <w:t>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Подключение образовательной организации к </w:t>
            </w:r>
            <w:r>
              <w:rPr>
                <w:rFonts w:ascii="Times New Roman" w:hAnsi="Times New Roman"/>
              </w:rPr>
              <w:lastRenderedPageBreak/>
              <w:t>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Оснащение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Соответствует в </w:t>
            </w:r>
            <w:r>
              <w:rPr>
                <w:rFonts w:ascii="Times New Roman" w:hAnsi="Times New Roman"/>
              </w:rPr>
              <w:lastRenderedPageBreak/>
              <w:t xml:space="preserve">полной мере             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Перераспределение </w:t>
            </w:r>
            <w:r>
              <w:rPr>
                <w:rFonts w:ascii="Times New Roman" w:hAnsi="Times New Roman"/>
              </w:rPr>
              <w:lastRenderedPageBreak/>
              <w:t>бюджетных средств или привлечение дополнительных источников финансирование.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</w:t>
            </w:r>
            <w:r>
              <w:rPr>
                <w:rFonts w:ascii="Times New Roman" w:hAnsi="Times New Roman"/>
              </w:rPr>
              <w:lastRenderedPageBreak/>
              <w:t>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соблюдаются рекомендации по </w:t>
            </w:r>
            <w:r>
              <w:rPr>
                <w:rFonts w:ascii="Times New Roman" w:hAnsi="Times New Roman"/>
              </w:rPr>
              <w:lastRenderedPageBreak/>
              <w:t>хранению оборудования.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</w:t>
            </w:r>
            <w:r>
              <w:rPr>
                <w:rFonts w:ascii="Times New Roman" w:hAnsi="Times New Roman"/>
              </w:rPr>
              <w:lastRenderedPageBreak/>
              <w:t>указанных во ФГОС НОО, ФГОС ООО, ФГОС СОО.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Эксплуатация </w:t>
            </w:r>
            <w:r>
              <w:rPr>
                <w:rFonts w:ascii="Times New Roman" w:hAnsi="Times New Roman"/>
              </w:rPr>
              <w:lastRenderedPageBreak/>
              <w:t>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/>
              </w:rPr>
              <w:lastRenderedPageBreak/>
              <w:t>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Недостаток административных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команды </w:t>
            </w:r>
            <w:r>
              <w:rPr>
                <w:rFonts w:ascii="Times New Roman" w:hAnsi="Times New Roman"/>
              </w:rPr>
              <w:lastRenderedPageBreak/>
              <w:t>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72D49"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  <w:vMerge/>
          </w:tcPr>
          <w:p w:rsidR="00472D49" w:rsidRDefault="00472D49"/>
        </w:tc>
        <w:tc>
          <w:tcPr>
            <w:tcW w:w="0" w:type="auto"/>
          </w:tcPr>
          <w:p w:rsidR="00472D49" w:rsidRDefault="00160591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472D49" w:rsidRDefault="0016059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б образовании в Российской Федерации, предусмотренные уставом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  <w:tr w:rsidR="00472D49"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72D49" w:rsidRDefault="0016059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72D49" w:rsidRDefault="00472D49"/>
        </w:tc>
        <w:tc>
          <w:tcPr>
            <w:tcW w:w="0" w:type="auto"/>
          </w:tcPr>
          <w:p w:rsidR="00472D49" w:rsidRDefault="00472D49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160591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1605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rPr>
          <w:trHeight w:val="495"/>
        </w:trPr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60591">
        <w:tc>
          <w:tcPr>
            <w:tcW w:w="337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160591">
        <w:tc>
          <w:tcPr>
            <w:tcW w:w="1282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160591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60591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60591">
        <w:tc>
          <w:tcPr>
            <w:tcW w:w="1282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60591">
        <w:tc>
          <w:tcPr>
            <w:tcW w:w="1282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60591">
        <w:tc>
          <w:tcPr>
            <w:tcW w:w="1282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160591">
        <w:tc>
          <w:tcPr>
            <w:tcW w:w="1488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160591">
        <w:tc>
          <w:tcPr>
            <w:tcW w:w="148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160591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1605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1605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160591">
        <w:trPr>
          <w:trHeight w:val="20"/>
        </w:trPr>
        <w:tc>
          <w:tcPr>
            <w:tcW w:w="943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160591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1605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160591">
        <w:trPr>
          <w:trHeight w:val="20"/>
        </w:trPr>
        <w:tc>
          <w:tcPr>
            <w:tcW w:w="943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1605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605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91" w:rsidRDefault="00160591">
      <w:pPr>
        <w:spacing w:after="0" w:line="240" w:lineRule="auto"/>
      </w:pPr>
      <w:r>
        <w:separator/>
      </w:r>
    </w:p>
  </w:endnote>
  <w:endnote w:type="continuationSeparator" w:id="0">
    <w:p w:rsidR="00160591" w:rsidRDefault="0016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160591" w:rsidRDefault="00160591">
        <w:pPr>
          <w:pStyle w:val="ad"/>
          <w:jc w:val="center"/>
        </w:pPr>
        <w:fldSimple w:instr="PAGE   \* MERGEFORMAT">
          <w:r w:rsidR="00AC46A8">
            <w:rPr>
              <w:noProof/>
            </w:rPr>
            <w:t>2</w:t>
          </w:r>
        </w:fldSimple>
      </w:p>
    </w:sdtContent>
  </w:sdt>
  <w:p w:rsidR="00160591" w:rsidRDefault="001605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91" w:rsidRDefault="00160591">
      <w:pPr>
        <w:spacing w:after="0" w:line="240" w:lineRule="auto"/>
      </w:pPr>
      <w:r>
        <w:separator/>
      </w:r>
    </w:p>
  </w:footnote>
  <w:footnote w:type="continuationSeparator" w:id="0">
    <w:p w:rsidR="00160591" w:rsidRDefault="0016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160591" w:rsidRDefault="00160591">
        <w:pPr>
          <w:pStyle w:val="ab"/>
          <w:jc w:val="center"/>
        </w:pPr>
        <w:fldSimple w:instr="PAGE   \* MERGEFORMAT">
          <w:r w:rsidR="00AC46A8">
            <w:rPr>
              <w:noProof/>
            </w:rPr>
            <w:t>116</w:t>
          </w:r>
        </w:fldSimple>
      </w:p>
    </w:sdtContent>
  </w:sdt>
  <w:p w:rsidR="00160591" w:rsidRDefault="0016059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6229"/>
    <w:multiLevelType w:val="multilevel"/>
    <w:tmpl w:val="3264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B6F8CB84">
      <w:numFmt w:val="decimal"/>
      <w:lvlText w:val=""/>
      <w:lvlJc w:val="left"/>
    </w:lvl>
    <w:lvl w:ilvl="2" w:tplc="161ECAAC">
      <w:numFmt w:val="decimal"/>
      <w:lvlText w:val=""/>
      <w:lvlJc w:val="left"/>
    </w:lvl>
    <w:lvl w:ilvl="3" w:tplc="E3944C6C">
      <w:numFmt w:val="decimal"/>
      <w:lvlText w:val=""/>
      <w:lvlJc w:val="left"/>
    </w:lvl>
    <w:lvl w:ilvl="4" w:tplc="5CA21662">
      <w:numFmt w:val="decimal"/>
      <w:lvlText w:val=""/>
      <w:lvlJc w:val="left"/>
    </w:lvl>
    <w:lvl w:ilvl="5" w:tplc="EC1A683C">
      <w:numFmt w:val="decimal"/>
      <w:lvlText w:val=""/>
      <w:lvlJc w:val="left"/>
    </w:lvl>
    <w:lvl w:ilvl="6" w:tplc="551EE65C">
      <w:numFmt w:val="decimal"/>
      <w:lvlText w:val=""/>
      <w:lvlJc w:val="left"/>
    </w:lvl>
    <w:lvl w:ilvl="7" w:tplc="D586FAD0">
      <w:numFmt w:val="decimal"/>
      <w:lvlText w:val=""/>
      <w:lvlJc w:val="left"/>
    </w:lvl>
    <w:lvl w:ilvl="8" w:tplc="BEB260F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0F1B01"/>
    <w:rsid w:val="0011701E"/>
    <w:rsid w:val="0012007B"/>
    <w:rsid w:val="00127045"/>
    <w:rsid w:val="0012722C"/>
    <w:rsid w:val="00160591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72D49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C46A8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9"/>
  </w:style>
  <w:style w:type="paragraph" w:styleId="1">
    <w:name w:val="heading 1"/>
    <w:basedOn w:val="a"/>
    <w:next w:val="a"/>
    <w:link w:val="10"/>
    <w:uiPriority w:val="9"/>
    <w:qFormat/>
    <w:rsid w:val="00472D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72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72D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2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72D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72D4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72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72D4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72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72D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72D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72D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72D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72D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72D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72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72D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72D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72D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72D49"/>
    <w:rPr>
      <w:sz w:val="24"/>
      <w:szCs w:val="24"/>
    </w:rPr>
  </w:style>
  <w:style w:type="character" w:customStyle="1" w:styleId="QuoteChar">
    <w:name w:val="Quote Char"/>
    <w:uiPriority w:val="29"/>
    <w:rsid w:val="00472D49"/>
    <w:rPr>
      <w:i/>
    </w:rPr>
  </w:style>
  <w:style w:type="character" w:customStyle="1" w:styleId="IntenseQuoteChar">
    <w:name w:val="Intense Quote Char"/>
    <w:uiPriority w:val="30"/>
    <w:rsid w:val="00472D49"/>
    <w:rPr>
      <w:i/>
    </w:rPr>
  </w:style>
  <w:style w:type="character" w:customStyle="1" w:styleId="HeaderChar">
    <w:name w:val="Header Char"/>
    <w:basedOn w:val="a0"/>
    <w:uiPriority w:val="99"/>
    <w:rsid w:val="00472D49"/>
  </w:style>
  <w:style w:type="character" w:customStyle="1" w:styleId="CaptionChar">
    <w:name w:val="Caption Char"/>
    <w:uiPriority w:val="99"/>
    <w:rsid w:val="00472D49"/>
  </w:style>
  <w:style w:type="character" w:customStyle="1" w:styleId="FootnoteTextChar">
    <w:name w:val="Footnote Text Char"/>
    <w:uiPriority w:val="99"/>
    <w:rsid w:val="00472D49"/>
    <w:rPr>
      <w:sz w:val="18"/>
    </w:rPr>
  </w:style>
  <w:style w:type="character" w:customStyle="1" w:styleId="EndnoteTextChar">
    <w:name w:val="Endnote Text Char"/>
    <w:uiPriority w:val="99"/>
    <w:rsid w:val="00472D4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72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72D4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72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72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72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72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72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72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72D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2D49"/>
    <w:pPr>
      <w:ind w:left="720"/>
      <w:contextualSpacing/>
    </w:pPr>
  </w:style>
  <w:style w:type="paragraph" w:styleId="a4">
    <w:name w:val="No Spacing"/>
    <w:uiPriority w:val="1"/>
    <w:qFormat/>
    <w:rsid w:val="00472D4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72D4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72D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2D4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2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2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2D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2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2D49"/>
    <w:rPr>
      <w:i/>
    </w:rPr>
  </w:style>
  <w:style w:type="paragraph" w:styleId="ab">
    <w:name w:val="header"/>
    <w:basedOn w:val="a"/>
    <w:link w:val="ac"/>
    <w:uiPriority w:val="99"/>
    <w:unhideWhenUsed/>
    <w:rsid w:val="00472D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2D49"/>
  </w:style>
  <w:style w:type="paragraph" w:styleId="ad">
    <w:name w:val="footer"/>
    <w:basedOn w:val="a"/>
    <w:link w:val="ae"/>
    <w:uiPriority w:val="99"/>
    <w:unhideWhenUsed/>
    <w:rsid w:val="00472D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72D49"/>
  </w:style>
  <w:style w:type="paragraph" w:styleId="af">
    <w:name w:val="caption"/>
    <w:basedOn w:val="a"/>
    <w:next w:val="a"/>
    <w:uiPriority w:val="35"/>
    <w:semiHidden/>
    <w:unhideWhenUsed/>
    <w:qFormat/>
    <w:rsid w:val="00472D4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72D49"/>
  </w:style>
  <w:style w:type="table" w:styleId="af0">
    <w:name w:val="Table Grid"/>
    <w:basedOn w:val="a1"/>
    <w:uiPriority w:val="59"/>
    <w:rsid w:val="00472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2D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2D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2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2D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2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72D49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72D49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72D49"/>
    <w:rPr>
      <w:sz w:val="18"/>
    </w:rPr>
  </w:style>
  <w:style w:type="character" w:styleId="af4">
    <w:name w:val="footnote reference"/>
    <w:basedOn w:val="a0"/>
    <w:uiPriority w:val="99"/>
    <w:unhideWhenUsed/>
    <w:rsid w:val="00472D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72D49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72D49"/>
    <w:rPr>
      <w:sz w:val="20"/>
    </w:rPr>
  </w:style>
  <w:style w:type="character" w:styleId="af7">
    <w:name w:val="endnote reference"/>
    <w:basedOn w:val="a0"/>
    <w:uiPriority w:val="99"/>
    <w:semiHidden/>
    <w:unhideWhenUsed/>
    <w:rsid w:val="00472D4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72D49"/>
    <w:pPr>
      <w:spacing w:after="57"/>
    </w:pPr>
  </w:style>
  <w:style w:type="paragraph" w:styleId="23">
    <w:name w:val="toc 2"/>
    <w:basedOn w:val="a"/>
    <w:next w:val="a"/>
    <w:uiPriority w:val="39"/>
    <w:unhideWhenUsed/>
    <w:rsid w:val="00472D4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72D4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72D4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72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2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2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2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2D49"/>
    <w:pPr>
      <w:spacing w:after="57"/>
      <w:ind w:left="2268"/>
    </w:pPr>
  </w:style>
  <w:style w:type="paragraph" w:styleId="af8">
    <w:name w:val="TOC Heading"/>
    <w:uiPriority w:val="39"/>
    <w:unhideWhenUsed/>
    <w:rsid w:val="00472D49"/>
  </w:style>
  <w:style w:type="paragraph" w:styleId="af9">
    <w:name w:val="table of figures"/>
    <w:basedOn w:val="a"/>
    <w:next w:val="a"/>
    <w:uiPriority w:val="99"/>
    <w:unhideWhenUsed/>
    <w:rsid w:val="00472D49"/>
    <w:pPr>
      <w:spacing w:after="0"/>
    </w:pPr>
  </w:style>
  <w:style w:type="paragraph" w:customStyle="1" w:styleId="ConsPlusNormal">
    <w:name w:val="ConsPlusNormal"/>
    <w:rsid w:val="00472D4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72D4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7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72D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2D4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6C35-A48B-4351-B502-62E9B87D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16324</Words>
  <Characters>93053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XE</cp:lastModifiedBy>
  <cp:revision>2</cp:revision>
  <cp:lastPrinted>2023-08-02T05:33:00Z</cp:lastPrinted>
  <dcterms:created xsi:type="dcterms:W3CDTF">2024-06-14T19:14:00Z</dcterms:created>
  <dcterms:modified xsi:type="dcterms:W3CDTF">2024-06-14T19:14:00Z</dcterms:modified>
</cp:coreProperties>
</file>